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AE" w:rsidRDefault="00E757AE" w:rsidP="00E757AE">
      <w:pPr>
        <w:pStyle w:val="NoSpacing"/>
        <w:jc w:val="center"/>
        <w:rPr>
          <w:sz w:val="28"/>
          <w:szCs w:val="28"/>
        </w:rPr>
      </w:pPr>
      <w:r w:rsidRPr="00E757AE">
        <w:rPr>
          <w:rFonts w:ascii="Times New Roman" w:eastAsia="Times New Roman" w:hAnsi="Times New Roman" w:cs="Times New Roman"/>
          <w:b/>
          <w:sz w:val="28"/>
          <w:szCs w:val="28"/>
        </w:rPr>
        <w:t>BCA Market Perspective</w:t>
      </w:r>
      <w:r w:rsidRPr="00DB332F">
        <w:rPr>
          <w:sz w:val="28"/>
          <w:szCs w:val="28"/>
        </w:rPr>
        <w:t xml:space="preserve"> ©</w:t>
      </w:r>
    </w:p>
    <w:p w:rsidR="00E757AE" w:rsidRDefault="00E757AE" w:rsidP="00E757AE">
      <w:pPr>
        <w:pStyle w:val="NoSpacing"/>
        <w:jc w:val="center"/>
      </w:pPr>
    </w:p>
    <w:p w:rsidR="00617222" w:rsidRDefault="00E757AE" w:rsidP="00E757AE">
      <w:pPr>
        <w:pStyle w:val="NoSpacing"/>
        <w:jc w:val="center"/>
        <w:rPr>
          <w:rFonts w:ascii="Times New Roman" w:hAnsi="Times New Roman" w:cs="Times New Roman"/>
          <w:b/>
          <w:noProof/>
          <w:sz w:val="26"/>
          <w:szCs w:val="26"/>
        </w:rPr>
      </w:pPr>
      <w:r w:rsidRPr="00E757AE">
        <w:rPr>
          <w:rFonts w:ascii="Times New Roman" w:hAnsi="Times New Roman" w:cs="Times New Roman"/>
          <w:b/>
          <w:noProof/>
          <w:sz w:val="26"/>
          <w:szCs w:val="26"/>
        </w:rPr>
        <w:t>The Shrink</w:t>
      </w:r>
      <w:bookmarkStart w:id="0" w:name="_GoBack"/>
      <w:bookmarkEnd w:id="0"/>
      <w:r w:rsidRPr="00E757AE">
        <w:rPr>
          <w:rFonts w:ascii="Times New Roman" w:hAnsi="Times New Roman" w:cs="Times New Roman"/>
          <w:b/>
          <w:noProof/>
          <w:sz w:val="26"/>
          <w:szCs w:val="26"/>
        </w:rPr>
        <w:t>ing Number of Public U.S. Companies</w:t>
      </w:r>
    </w:p>
    <w:p w:rsidR="00E757AE" w:rsidRPr="00E757AE" w:rsidRDefault="00E757AE" w:rsidP="00E757AE">
      <w:pPr>
        <w:pStyle w:val="NoSpacing"/>
        <w:jc w:val="center"/>
        <w:rPr>
          <w:rFonts w:ascii="Times New Roman" w:hAnsi="Times New Roman" w:cs="Times New Roman"/>
          <w:b/>
          <w:noProof/>
          <w:sz w:val="4"/>
          <w:szCs w:val="4"/>
        </w:rPr>
      </w:pPr>
    </w:p>
    <w:p w:rsidR="00E757AE" w:rsidRDefault="00E757AE" w:rsidP="00E757AE">
      <w:pPr>
        <w:pStyle w:val="NoSpacing"/>
        <w:jc w:val="center"/>
        <w:rPr>
          <w:rFonts w:ascii="Times New Roman" w:hAnsi="Times New Roman" w:cs="Times New Roman"/>
          <w:noProof/>
        </w:rPr>
      </w:pPr>
      <w:r w:rsidRPr="00E757AE">
        <w:rPr>
          <w:rFonts w:ascii="Times New Roman" w:hAnsi="Times New Roman" w:cs="Times New Roman"/>
          <w:noProof/>
        </w:rPr>
        <w:t>Frank Wan</w:t>
      </w:r>
    </w:p>
    <w:p w:rsidR="00E757AE" w:rsidRDefault="00E757AE" w:rsidP="00E757AE">
      <w:pPr>
        <w:pStyle w:val="NoSpacing"/>
        <w:jc w:val="center"/>
        <w:rPr>
          <w:rFonts w:ascii="Times New Roman" w:hAnsi="Times New Roman" w:cs="Times New Roman"/>
          <w:noProof/>
        </w:rPr>
      </w:pPr>
    </w:p>
    <w:p w:rsidR="00E757AE" w:rsidRPr="00E757AE" w:rsidRDefault="00E757AE" w:rsidP="00E757AE">
      <w:pPr>
        <w:pStyle w:val="NoSpacing"/>
        <w:jc w:val="center"/>
        <w:rPr>
          <w:rFonts w:ascii="Times New Roman" w:hAnsi="Times New Roman" w:cs="Times New Roman"/>
          <w:noProof/>
        </w:rPr>
      </w:pPr>
      <w:r>
        <w:rPr>
          <w:rFonts w:ascii="Times New Roman" w:hAnsi="Times New Roman" w:cs="Times New Roman"/>
          <w:noProof/>
        </w:rPr>
        <w:t>July 2017</w:t>
      </w:r>
    </w:p>
    <w:p w:rsidR="00E757AE" w:rsidRPr="00E757AE" w:rsidRDefault="00E757AE" w:rsidP="00E757AE">
      <w:pPr>
        <w:pStyle w:val="NoSpacing"/>
        <w:jc w:val="center"/>
        <w:rPr>
          <w:rFonts w:ascii="Times New Roman" w:hAnsi="Times New Roman" w:cs="Times New Roman"/>
          <w:u w:val="single"/>
        </w:rPr>
      </w:pPr>
    </w:p>
    <w:p w:rsidR="00EE0210" w:rsidRPr="00E757AE" w:rsidRDefault="00E757AE" w:rsidP="009710F6">
      <w:pPr>
        <w:jc w:val="both"/>
        <w:rPr>
          <w:rFonts w:ascii="Times New Roman" w:hAnsi="Times New Roman" w:cs="Times New Roman"/>
          <w:sz w:val="24"/>
          <w:szCs w:val="24"/>
        </w:rPr>
      </w:pPr>
      <w:r w:rsidRPr="00E757AE">
        <w:rPr>
          <w:rFonts w:ascii="Times New Roman" w:hAnsi="Times New Roman" w:cs="Times New Roman"/>
          <w:noProof/>
        </w:rPr>
        <w:drawing>
          <wp:anchor distT="0" distB="0" distL="114300" distR="114300" simplePos="0" relativeHeight="251658240" behindDoc="1" locked="0" layoutInCell="1" allowOverlap="1" wp14:anchorId="36CBCE8D" wp14:editId="43BFD209">
            <wp:simplePos x="0" y="0"/>
            <wp:positionH relativeFrom="column">
              <wp:posOffset>5737225</wp:posOffset>
            </wp:positionH>
            <wp:positionV relativeFrom="paragraph">
              <wp:posOffset>133350</wp:posOffset>
            </wp:positionV>
            <wp:extent cx="2749550" cy="1990725"/>
            <wp:effectExtent l="0" t="0" r="0" b="9525"/>
            <wp:wrapThrough wrapText="bothSides">
              <wp:wrapPolygon edited="0">
                <wp:start x="0" y="0"/>
                <wp:lineTo x="0" y="21497"/>
                <wp:lineTo x="21400" y="21497"/>
                <wp:lineTo x="214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2.png"/>
                    <pic:cNvPicPr/>
                  </pic:nvPicPr>
                  <pic:blipFill rotWithShape="1">
                    <a:blip r:embed="rId7">
                      <a:extLst>
                        <a:ext uri="{28A0092B-C50C-407E-A947-70E740481C1C}">
                          <a14:useLocalDpi xmlns:a14="http://schemas.microsoft.com/office/drawing/2010/main" val="0"/>
                        </a:ext>
                      </a:extLst>
                    </a:blip>
                    <a:srcRect l="49325" t="21711" b="9363"/>
                    <a:stretch/>
                  </pic:blipFill>
                  <pic:spPr bwMode="auto">
                    <a:xfrm>
                      <a:off x="0" y="0"/>
                      <a:ext cx="27495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9BC" w:rsidRPr="00E757A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editId="36B11C9B">
                <wp:simplePos x="0" y="0"/>
                <wp:positionH relativeFrom="column">
                  <wp:posOffset>6067425</wp:posOffset>
                </wp:positionH>
                <wp:positionV relativeFrom="paragraph">
                  <wp:posOffset>-38100</wp:posOffset>
                </wp:positionV>
                <wp:extent cx="2374265" cy="2381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8125"/>
                        </a:xfrm>
                        <a:prstGeom prst="rect">
                          <a:avLst/>
                        </a:prstGeom>
                        <a:solidFill>
                          <a:srgbClr val="FFFFFF"/>
                        </a:solidFill>
                        <a:ln w="9525">
                          <a:noFill/>
                          <a:miter lim="800000"/>
                          <a:headEnd/>
                          <a:tailEnd/>
                        </a:ln>
                      </wps:spPr>
                      <wps:txbx>
                        <w:txbxContent>
                          <w:p w:rsidR="005609BC" w:rsidRPr="005609BC" w:rsidRDefault="005609BC">
                            <w:pPr>
                              <w:rPr>
                                <w:b/>
                                <w:sz w:val="18"/>
                                <w:szCs w:val="18"/>
                                <w:u w:val="single"/>
                              </w:rPr>
                            </w:pPr>
                            <w:r w:rsidRPr="005609BC">
                              <w:rPr>
                                <w:b/>
                                <w:sz w:val="18"/>
                                <w:szCs w:val="18"/>
                                <w:u w:val="single"/>
                              </w:rPr>
                              <w:t>Global Stock Markets</w:t>
                            </w:r>
                            <w:r w:rsidR="009710F6">
                              <w:rPr>
                                <w:b/>
                                <w:sz w:val="18"/>
                                <w:szCs w:val="18"/>
                                <w:u w:val="single"/>
                              </w:rPr>
                              <w:t xml:space="preserve">; </w:t>
                            </w:r>
                            <w:r w:rsidR="00617222">
                              <w:rPr>
                                <w:b/>
                                <w:sz w:val="18"/>
                                <w:szCs w:val="18"/>
                                <w:u w:val="single"/>
                              </w:rPr>
                              <w:t xml:space="preserve">% </w:t>
                            </w:r>
                            <w:r w:rsidR="009710F6">
                              <w:rPr>
                                <w:b/>
                                <w:sz w:val="18"/>
                                <w:szCs w:val="18"/>
                                <w:u w:val="single"/>
                              </w:rPr>
                              <w:t xml:space="preserve">Market Share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75pt;margin-top:-3pt;width:186.95pt;height:18.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ykIQIAAB0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" stroked="f">
                <v:textbox>
                  <w:txbxContent>
                    <w:p w:rsidR="005609BC" w:rsidRPr="005609BC" w:rsidRDefault="005609BC">
                      <w:pPr>
                        <w:rPr>
                          <w:b/>
                          <w:sz w:val="18"/>
                          <w:szCs w:val="18"/>
                          <w:u w:val="single"/>
                        </w:rPr>
                      </w:pPr>
                      <w:r w:rsidRPr="005609BC">
                        <w:rPr>
                          <w:b/>
                          <w:sz w:val="18"/>
                          <w:szCs w:val="18"/>
                          <w:u w:val="single"/>
                        </w:rPr>
                        <w:t>Global Stock Markets</w:t>
                      </w:r>
                      <w:r w:rsidR="009710F6">
                        <w:rPr>
                          <w:b/>
                          <w:sz w:val="18"/>
                          <w:szCs w:val="18"/>
                          <w:u w:val="single"/>
                        </w:rPr>
                        <w:t xml:space="preserve">; </w:t>
                      </w:r>
                      <w:r w:rsidR="00617222">
                        <w:rPr>
                          <w:b/>
                          <w:sz w:val="18"/>
                          <w:szCs w:val="18"/>
                          <w:u w:val="single"/>
                        </w:rPr>
                        <w:t xml:space="preserve">% </w:t>
                      </w:r>
                      <w:r w:rsidR="009710F6">
                        <w:rPr>
                          <w:b/>
                          <w:sz w:val="18"/>
                          <w:szCs w:val="18"/>
                          <w:u w:val="single"/>
                        </w:rPr>
                        <w:t xml:space="preserve">Market Share </w:t>
                      </w:r>
                    </w:p>
                  </w:txbxContent>
                </v:textbox>
              </v:shape>
            </w:pict>
          </mc:Fallback>
        </mc:AlternateContent>
      </w:r>
      <w:r w:rsidR="00C53B9D" w:rsidRPr="00E757AE">
        <w:rPr>
          <w:rFonts w:ascii="Times New Roman" w:hAnsi="Times New Roman" w:cs="Times New Roman"/>
          <w:sz w:val="24"/>
          <w:szCs w:val="24"/>
        </w:rPr>
        <w:t>The U.S. stock market is by far the largest in the world, representing 53.2%</w:t>
      </w:r>
      <w:r w:rsidR="000E1622">
        <w:rPr>
          <w:rFonts w:ascii="Times New Roman" w:hAnsi="Times New Roman" w:cs="Times New Roman"/>
          <w:sz w:val="24"/>
          <w:szCs w:val="24"/>
        </w:rPr>
        <w:t xml:space="preserve"> of the global market</w:t>
      </w:r>
      <w:r w:rsidR="00C53B9D" w:rsidRPr="00E757AE">
        <w:rPr>
          <w:rFonts w:ascii="Times New Roman" w:hAnsi="Times New Roman" w:cs="Times New Roman"/>
          <w:sz w:val="24"/>
          <w:szCs w:val="24"/>
        </w:rPr>
        <w:t xml:space="preserve"> as of December 31</w:t>
      </w:r>
      <w:r w:rsidR="000E1622">
        <w:rPr>
          <w:rFonts w:ascii="Times New Roman" w:hAnsi="Times New Roman" w:cs="Times New Roman"/>
          <w:sz w:val="24"/>
          <w:szCs w:val="24"/>
        </w:rPr>
        <w:t>, 2016</w:t>
      </w:r>
      <w:r w:rsidR="00C53B9D" w:rsidRPr="00E757AE">
        <w:rPr>
          <w:rFonts w:ascii="Times New Roman" w:hAnsi="Times New Roman" w:cs="Times New Roman"/>
          <w:sz w:val="24"/>
          <w:szCs w:val="24"/>
        </w:rPr>
        <w:t xml:space="preserve">. </w:t>
      </w:r>
      <w:r w:rsidR="00EE0210" w:rsidRPr="00E757AE">
        <w:rPr>
          <w:rFonts w:ascii="Times New Roman" w:hAnsi="Times New Roman" w:cs="Times New Roman"/>
          <w:sz w:val="24"/>
          <w:szCs w:val="24"/>
        </w:rPr>
        <w:t>Companies like Apple, J</w:t>
      </w:r>
      <w:r w:rsidR="005D735F" w:rsidRPr="00E757AE">
        <w:rPr>
          <w:rFonts w:ascii="Times New Roman" w:hAnsi="Times New Roman" w:cs="Times New Roman"/>
          <w:sz w:val="24"/>
          <w:szCs w:val="24"/>
        </w:rPr>
        <w:t>ohnson &amp; Johnson (J&amp;J)</w:t>
      </w:r>
      <w:r w:rsidR="00EE0210" w:rsidRPr="00E757AE">
        <w:rPr>
          <w:rFonts w:ascii="Times New Roman" w:hAnsi="Times New Roman" w:cs="Times New Roman"/>
          <w:sz w:val="24"/>
          <w:szCs w:val="24"/>
        </w:rPr>
        <w:t>, and Berkshire Hathaway, are valued in billions</w:t>
      </w:r>
      <w:r>
        <w:rPr>
          <w:rFonts w:ascii="Times New Roman" w:hAnsi="Times New Roman" w:cs="Times New Roman"/>
          <w:sz w:val="24"/>
          <w:szCs w:val="24"/>
        </w:rPr>
        <w:t xml:space="preserve"> of dollars</w:t>
      </w:r>
      <w:r w:rsidR="00EE0210" w:rsidRPr="00E757AE">
        <w:rPr>
          <w:rFonts w:ascii="Times New Roman" w:hAnsi="Times New Roman" w:cs="Times New Roman"/>
          <w:sz w:val="24"/>
          <w:szCs w:val="24"/>
        </w:rPr>
        <w:t xml:space="preserve">. </w:t>
      </w:r>
      <w:r w:rsidR="009710F6" w:rsidRPr="00E757AE">
        <w:rPr>
          <w:rFonts w:ascii="Times New Roman" w:hAnsi="Times New Roman" w:cs="Times New Roman"/>
          <w:sz w:val="24"/>
          <w:szCs w:val="24"/>
        </w:rPr>
        <w:t>And t</w:t>
      </w:r>
      <w:r w:rsidR="00EB3E95" w:rsidRPr="00E757AE">
        <w:rPr>
          <w:rFonts w:ascii="Times New Roman" w:hAnsi="Times New Roman" w:cs="Times New Roman"/>
          <w:sz w:val="24"/>
          <w:szCs w:val="24"/>
        </w:rPr>
        <w:t>o</w:t>
      </w:r>
      <w:r w:rsidR="00EE0210" w:rsidRPr="00E757AE">
        <w:rPr>
          <w:rFonts w:ascii="Times New Roman" w:hAnsi="Times New Roman" w:cs="Times New Roman"/>
          <w:sz w:val="24"/>
          <w:szCs w:val="24"/>
        </w:rPr>
        <w:t xml:space="preserve"> put this in perspective, Apple’s market cap is the equivalent of South Korea’s </w:t>
      </w:r>
      <w:r>
        <w:rPr>
          <w:rFonts w:ascii="Times New Roman" w:hAnsi="Times New Roman" w:cs="Times New Roman"/>
          <w:sz w:val="24"/>
          <w:szCs w:val="24"/>
        </w:rPr>
        <w:t xml:space="preserve">total </w:t>
      </w:r>
      <w:r w:rsidR="00EE0210" w:rsidRPr="00E757AE">
        <w:rPr>
          <w:rFonts w:ascii="Times New Roman" w:hAnsi="Times New Roman" w:cs="Times New Roman"/>
          <w:sz w:val="24"/>
          <w:szCs w:val="24"/>
        </w:rPr>
        <w:t>stock exchange. Goldman Sachs is the equivalent of Thailand</w:t>
      </w:r>
      <w:r w:rsidR="006D7571" w:rsidRPr="00E757AE">
        <w:rPr>
          <w:rFonts w:ascii="Times New Roman" w:hAnsi="Times New Roman" w:cs="Times New Roman"/>
          <w:sz w:val="24"/>
          <w:szCs w:val="24"/>
        </w:rPr>
        <w:t>’s</w:t>
      </w:r>
      <w:r w:rsidR="00EE0210" w:rsidRPr="00E757AE">
        <w:rPr>
          <w:rFonts w:ascii="Times New Roman" w:hAnsi="Times New Roman" w:cs="Times New Roman"/>
          <w:sz w:val="24"/>
          <w:szCs w:val="24"/>
        </w:rPr>
        <w:t xml:space="preserve">, </w:t>
      </w:r>
      <w:r w:rsidR="005D735F" w:rsidRPr="00E757AE">
        <w:rPr>
          <w:rFonts w:ascii="Times New Roman" w:hAnsi="Times New Roman" w:cs="Times New Roman"/>
          <w:sz w:val="24"/>
          <w:szCs w:val="24"/>
        </w:rPr>
        <w:t>J&amp;J</w:t>
      </w:r>
      <w:r w:rsidR="00EE0210" w:rsidRPr="00E757AE">
        <w:rPr>
          <w:rFonts w:ascii="Times New Roman" w:hAnsi="Times New Roman" w:cs="Times New Roman"/>
          <w:sz w:val="24"/>
          <w:szCs w:val="24"/>
        </w:rPr>
        <w:t xml:space="preserve"> is the </w:t>
      </w:r>
      <w:r>
        <w:rPr>
          <w:rFonts w:ascii="Times New Roman" w:hAnsi="Times New Roman" w:cs="Times New Roman"/>
          <w:sz w:val="24"/>
          <w:szCs w:val="24"/>
        </w:rPr>
        <w:t>size</w:t>
      </w:r>
      <w:r w:rsidR="00EE0210" w:rsidRPr="00E757AE">
        <w:rPr>
          <w:rFonts w:ascii="Times New Roman" w:hAnsi="Times New Roman" w:cs="Times New Roman"/>
          <w:sz w:val="24"/>
          <w:szCs w:val="24"/>
        </w:rPr>
        <w:t xml:space="preserve"> of Brazil</w:t>
      </w:r>
      <w:r w:rsidR="006D7571" w:rsidRPr="00E757AE">
        <w:rPr>
          <w:rFonts w:ascii="Times New Roman" w:hAnsi="Times New Roman" w:cs="Times New Roman"/>
          <w:sz w:val="24"/>
          <w:szCs w:val="24"/>
        </w:rPr>
        <w:t>’s</w:t>
      </w:r>
      <w:r w:rsidR="00EE0210" w:rsidRPr="00E757AE">
        <w:rPr>
          <w:rFonts w:ascii="Times New Roman" w:hAnsi="Times New Roman" w:cs="Times New Roman"/>
          <w:sz w:val="24"/>
          <w:szCs w:val="24"/>
        </w:rPr>
        <w:t xml:space="preserve">, and Berkshire Hathaway is </w:t>
      </w:r>
      <w:r>
        <w:rPr>
          <w:rFonts w:ascii="Times New Roman" w:hAnsi="Times New Roman" w:cs="Times New Roman"/>
          <w:sz w:val="24"/>
          <w:szCs w:val="24"/>
        </w:rPr>
        <w:t xml:space="preserve">comparable to </w:t>
      </w:r>
      <w:r w:rsidR="00EE0210" w:rsidRPr="00E757AE">
        <w:rPr>
          <w:rFonts w:ascii="Times New Roman" w:hAnsi="Times New Roman" w:cs="Times New Roman"/>
          <w:sz w:val="24"/>
          <w:szCs w:val="24"/>
        </w:rPr>
        <w:t>India</w:t>
      </w:r>
      <w:r w:rsidR="006D7571" w:rsidRPr="00E757AE">
        <w:rPr>
          <w:rFonts w:ascii="Times New Roman" w:hAnsi="Times New Roman" w:cs="Times New Roman"/>
          <w:sz w:val="24"/>
          <w:szCs w:val="24"/>
        </w:rPr>
        <w:t>’s</w:t>
      </w:r>
      <w:r w:rsidR="00EE0210" w:rsidRPr="00E757AE">
        <w:rPr>
          <w:rFonts w:ascii="Times New Roman" w:hAnsi="Times New Roman" w:cs="Times New Roman"/>
          <w:sz w:val="24"/>
          <w:szCs w:val="24"/>
        </w:rPr>
        <w:t xml:space="preserve">. </w:t>
      </w:r>
    </w:p>
    <w:p w:rsidR="00C53B9D" w:rsidRPr="00E757AE" w:rsidRDefault="00EB3E95" w:rsidP="009710F6">
      <w:pPr>
        <w:jc w:val="both"/>
        <w:rPr>
          <w:rFonts w:ascii="Times New Roman" w:hAnsi="Times New Roman" w:cs="Times New Roman"/>
          <w:sz w:val="24"/>
          <w:szCs w:val="24"/>
        </w:rPr>
      </w:pPr>
      <w:r w:rsidRPr="00E757AE">
        <w:rPr>
          <w:rFonts w:ascii="Times New Roman" w:hAnsi="Times New Roman" w:cs="Times New Roman"/>
          <w:sz w:val="24"/>
          <w:szCs w:val="24"/>
        </w:rPr>
        <w:t>Despite the success behind U.S. companies and their global presence</w:t>
      </w:r>
      <w:r w:rsidR="00AA362E">
        <w:rPr>
          <w:rFonts w:ascii="Times New Roman" w:hAnsi="Times New Roman" w:cs="Times New Roman"/>
          <w:sz w:val="24"/>
          <w:szCs w:val="24"/>
        </w:rPr>
        <w:t xml:space="preserve">, the number of U.S.-listed </w:t>
      </w:r>
      <w:r w:rsidR="00C53B9D" w:rsidRPr="00E757AE">
        <w:rPr>
          <w:rFonts w:ascii="Times New Roman" w:hAnsi="Times New Roman" w:cs="Times New Roman"/>
          <w:sz w:val="24"/>
          <w:szCs w:val="24"/>
        </w:rPr>
        <w:t>stocks has</w:t>
      </w:r>
      <w:r w:rsidR="00EE0210" w:rsidRPr="00E757AE">
        <w:rPr>
          <w:rFonts w:ascii="Times New Roman" w:hAnsi="Times New Roman" w:cs="Times New Roman"/>
          <w:sz w:val="24"/>
          <w:szCs w:val="24"/>
        </w:rPr>
        <w:t xml:space="preserve"> </w:t>
      </w:r>
      <w:r w:rsidR="00E757AE">
        <w:rPr>
          <w:rFonts w:ascii="Times New Roman" w:hAnsi="Times New Roman" w:cs="Times New Roman"/>
          <w:sz w:val="24"/>
          <w:szCs w:val="24"/>
        </w:rPr>
        <w:t>decreased</w:t>
      </w:r>
      <w:r w:rsidR="00EE0210" w:rsidRPr="00E757AE">
        <w:rPr>
          <w:rFonts w:ascii="Times New Roman" w:hAnsi="Times New Roman" w:cs="Times New Roman"/>
          <w:sz w:val="24"/>
          <w:szCs w:val="24"/>
        </w:rPr>
        <w:t xml:space="preserve"> by fifty percent</w:t>
      </w:r>
      <w:r w:rsidR="00C53B9D" w:rsidRPr="00E757AE">
        <w:rPr>
          <w:rFonts w:ascii="Times New Roman" w:hAnsi="Times New Roman" w:cs="Times New Roman"/>
          <w:sz w:val="24"/>
          <w:szCs w:val="24"/>
        </w:rPr>
        <w:t xml:space="preserve"> </w:t>
      </w:r>
      <w:r w:rsidR="006D7571" w:rsidRPr="00E757AE">
        <w:rPr>
          <w:rFonts w:ascii="Times New Roman" w:hAnsi="Times New Roman" w:cs="Times New Roman"/>
          <w:sz w:val="24"/>
          <w:szCs w:val="24"/>
        </w:rPr>
        <w:t>over</w:t>
      </w:r>
      <w:r w:rsidR="00C53B9D" w:rsidRPr="00E757AE">
        <w:rPr>
          <w:rFonts w:ascii="Times New Roman" w:hAnsi="Times New Roman" w:cs="Times New Roman"/>
          <w:sz w:val="24"/>
          <w:szCs w:val="24"/>
        </w:rPr>
        <w:t xml:space="preserve"> the past 20 years, while the number of foreign stocks has</w:t>
      </w:r>
      <w:r w:rsidR="00EE0210" w:rsidRPr="00E757AE">
        <w:rPr>
          <w:rFonts w:ascii="Times New Roman" w:hAnsi="Times New Roman" w:cs="Times New Roman"/>
          <w:sz w:val="24"/>
          <w:szCs w:val="24"/>
        </w:rPr>
        <w:t xml:space="preserve"> increased by fifty percent. </w:t>
      </w:r>
    </w:p>
    <w:p w:rsidR="00EE0210" w:rsidRPr="00E757AE" w:rsidRDefault="00C53B9D" w:rsidP="009710F6">
      <w:pPr>
        <w:jc w:val="both"/>
        <w:rPr>
          <w:rFonts w:ascii="Times New Roman" w:hAnsi="Times New Roman" w:cs="Times New Roman"/>
          <w:sz w:val="24"/>
          <w:szCs w:val="24"/>
        </w:rPr>
      </w:pPr>
      <w:r w:rsidRPr="00E757AE">
        <w:rPr>
          <w:rFonts w:ascii="Times New Roman" w:hAnsi="Times New Roman" w:cs="Times New Roman"/>
          <w:sz w:val="24"/>
          <w:szCs w:val="24"/>
        </w:rPr>
        <w:t>According to Bloomberg, there were mor</w:t>
      </w:r>
      <w:r w:rsidR="00AA362E">
        <w:rPr>
          <w:rFonts w:ascii="Times New Roman" w:hAnsi="Times New Roman" w:cs="Times New Roman"/>
          <w:sz w:val="24"/>
          <w:szCs w:val="24"/>
        </w:rPr>
        <w:t xml:space="preserve">e than 9,100 U.S.-listed </w:t>
      </w:r>
      <w:r w:rsidRPr="00E757AE">
        <w:rPr>
          <w:rFonts w:ascii="Times New Roman" w:hAnsi="Times New Roman" w:cs="Times New Roman"/>
          <w:sz w:val="24"/>
          <w:szCs w:val="24"/>
        </w:rPr>
        <w:t>companies in 1997. Today, that number is do</w:t>
      </w:r>
      <w:r w:rsidR="00EE0210" w:rsidRPr="00E757AE">
        <w:rPr>
          <w:rFonts w:ascii="Times New Roman" w:hAnsi="Times New Roman" w:cs="Times New Roman"/>
          <w:sz w:val="24"/>
          <w:szCs w:val="24"/>
        </w:rPr>
        <w:t xml:space="preserve">wn to slightly more than 5,700. During the same </w:t>
      </w:r>
      <w:r w:rsidR="009710F6" w:rsidRPr="00E757AE">
        <w:rPr>
          <w:rFonts w:ascii="Times New Roman" w:hAnsi="Times New Roman" w:cs="Times New Roman"/>
          <w:sz w:val="24"/>
          <w:szCs w:val="24"/>
        </w:rPr>
        <w:t xml:space="preserve">period, the number of global stocks </w:t>
      </w:r>
      <w:r w:rsidR="00EE0210" w:rsidRPr="00E757AE">
        <w:rPr>
          <w:rFonts w:ascii="Times New Roman" w:hAnsi="Times New Roman" w:cs="Times New Roman"/>
          <w:sz w:val="24"/>
          <w:szCs w:val="24"/>
        </w:rPr>
        <w:t xml:space="preserve">has increased </w:t>
      </w:r>
      <w:r w:rsidR="006D7571" w:rsidRPr="00E757AE">
        <w:rPr>
          <w:rFonts w:ascii="Times New Roman" w:hAnsi="Times New Roman" w:cs="Times New Roman"/>
          <w:sz w:val="24"/>
          <w:szCs w:val="24"/>
        </w:rPr>
        <w:t>from</w:t>
      </w:r>
      <w:r w:rsidR="00EE0210" w:rsidRPr="00E757AE">
        <w:rPr>
          <w:rFonts w:ascii="Times New Roman" w:hAnsi="Times New Roman" w:cs="Times New Roman"/>
          <w:sz w:val="24"/>
          <w:szCs w:val="24"/>
        </w:rPr>
        <w:t xml:space="preserve"> </w:t>
      </w:r>
      <w:r w:rsidR="006D7571" w:rsidRPr="00E757AE">
        <w:rPr>
          <w:rFonts w:ascii="Times New Roman" w:hAnsi="Times New Roman" w:cs="Times New Roman"/>
          <w:sz w:val="24"/>
          <w:szCs w:val="24"/>
        </w:rPr>
        <w:t>2</w:t>
      </w:r>
      <w:r w:rsidR="00EE0210" w:rsidRPr="00E757AE">
        <w:rPr>
          <w:rFonts w:ascii="Times New Roman" w:hAnsi="Times New Roman" w:cs="Times New Roman"/>
          <w:sz w:val="24"/>
          <w:szCs w:val="24"/>
        </w:rPr>
        <w:t xml:space="preserve">3,000 </w:t>
      </w:r>
      <w:r w:rsidR="006D7571" w:rsidRPr="00E757AE">
        <w:rPr>
          <w:rFonts w:ascii="Times New Roman" w:hAnsi="Times New Roman" w:cs="Times New Roman"/>
          <w:sz w:val="24"/>
          <w:szCs w:val="24"/>
        </w:rPr>
        <w:t>to</w:t>
      </w:r>
      <w:r w:rsidR="00EE0210" w:rsidRPr="00E757AE">
        <w:rPr>
          <w:rFonts w:ascii="Times New Roman" w:hAnsi="Times New Roman" w:cs="Times New Roman"/>
          <w:sz w:val="24"/>
          <w:szCs w:val="24"/>
        </w:rPr>
        <w:t xml:space="preserve"> </w:t>
      </w:r>
      <w:r w:rsidR="006D7571" w:rsidRPr="00E757AE">
        <w:rPr>
          <w:rFonts w:ascii="Times New Roman" w:hAnsi="Times New Roman" w:cs="Times New Roman"/>
          <w:sz w:val="24"/>
          <w:szCs w:val="24"/>
        </w:rPr>
        <w:t>3</w:t>
      </w:r>
      <w:r w:rsidR="00EE0210" w:rsidRPr="00E757AE">
        <w:rPr>
          <w:rFonts w:ascii="Times New Roman" w:hAnsi="Times New Roman" w:cs="Times New Roman"/>
          <w:sz w:val="24"/>
          <w:szCs w:val="24"/>
        </w:rPr>
        <w:t xml:space="preserve">3,000. </w:t>
      </w:r>
    </w:p>
    <w:p w:rsidR="005D30B1" w:rsidRPr="00E757AE" w:rsidRDefault="00C53B9D" w:rsidP="009710F6">
      <w:pPr>
        <w:jc w:val="both"/>
        <w:rPr>
          <w:rFonts w:ascii="Times New Roman" w:hAnsi="Times New Roman" w:cs="Times New Roman"/>
          <w:sz w:val="24"/>
          <w:szCs w:val="24"/>
        </w:rPr>
      </w:pPr>
      <w:r w:rsidRPr="00E757AE">
        <w:rPr>
          <w:rFonts w:ascii="Times New Roman" w:hAnsi="Times New Roman" w:cs="Times New Roman"/>
          <w:sz w:val="24"/>
          <w:szCs w:val="24"/>
        </w:rPr>
        <w:t>The</w:t>
      </w:r>
      <w:r w:rsidR="0082510D" w:rsidRPr="00E757AE">
        <w:rPr>
          <w:rFonts w:ascii="Times New Roman" w:hAnsi="Times New Roman" w:cs="Times New Roman"/>
          <w:sz w:val="24"/>
          <w:szCs w:val="24"/>
        </w:rPr>
        <w:t xml:space="preserve"> primary contributor to this trend</w:t>
      </w:r>
      <w:r w:rsidR="00EB3E95" w:rsidRPr="00E757AE">
        <w:rPr>
          <w:rFonts w:ascii="Times New Roman" w:hAnsi="Times New Roman" w:cs="Times New Roman"/>
          <w:sz w:val="24"/>
          <w:szCs w:val="24"/>
        </w:rPr>
        <w:t xml:space="preserve"> </w:t>
      </w:r>
      <w:r w:rsidR="00EB3E95" w:rsidRPr="00AA362E">
        <w:rPr>
          <w:rFonts w:ascii="Times New Roman" w:hAnsi="Times New Roman" w:cs="Times New Roman"/>
          <w:sz w:val="24"/>
          <w:szCs w:val="24"/>
        </w:rPr>
        <w:t>is consolidation</w:t>
      </w:r>
      <w:r w:rsidR="00EB3E95" w:rsidRPr="00E757AE">
        <w:rPr>
          <w:rFonts w:ascii="Times New Roman" w:hAnsi="Times New Roman" w:cs="Times New Roman"/>
          <w:sz w:val="24"/>
          <w:szCs w:val="24"/>
        </w:rPr>
        <w:t xml:space="preserve">, as there </w:t>
      </w:r>
      <w:r w:rsidR="000E1622">
        <w:rPr>
          <w:rFonts w:ascii="Times New Roman" w:hAnsi="Times New Roman" w:cs="Times New Roman"/>
          <w:sz w:val="24"/>
          <w:szCs w:val="24"/>
        </w:rPr>
        <w:t>has</w:t>
      </w:r>
      <w:r w:rsidR="00EB3E95" w:rsidRPr="00E757AE">
        <w:rPr>
          <w:rFonts w:ascii="Times New Roman" w:hAnsi="Times New Roman" w:cs="Times New Roman"/>
          <w:sz w:val="24"/>
          <w:szCs w:val="24"/>
        </w:rPr>
        <w:t xml:space="preserve"> been</w:t>
      </w:r>
      <w:r w:rsidR="00D35B5A" w:rsidRPr="00E757AE">
        <w:rPr>
          <w:rFonts w:ascii="Times New Roman" w:hAnsi="Times New Roman" w:cs="Times New Roman"/>
          <w:sz w:val="24"/>
          <w:szCs w:val="24"/>
        </w:rPr>
        <w:t xml:space="preserve"> record</w:t>
      </w:r>
      <w:r w:rsidR="00EB3E95" w:rsidRPr="00E757AE">
        <w:rPr>
          <w:rFonts w:ascii="Times New Roman" w:hAnsi="Times New Roman" w:cs="Times New Roman"/>
          <w:sz w:val="24"/>
          <w:szCs w:val="24"/>
        </w:rPr>
        <w:t xml:space="preserve"> number</w:t>
      </w:r>
      <w:r w:rsidR="00D35B5A" w:rsidRPr="00E757AE">
        <w:rPr>
          <w:rFonts w:ascii="Times New Roman" w:hAnsi="Times New Roman" w:cs="Times New Roman"/>
          <w:sz w:val="24"/>
          <w:szCs w:val="24"/>
        </w:rPr>
        <w:t>s</w:t>
      </w:r>
      <w:r w:rsidR="00EB3E95" w:rsidRPr="00E757AE">
        <w:rPr>
          <w:rFonts w:ascii="Times New Roman" w:hAnsi="Times New Roman" w:cs="Times New Roman"/>
          <w:sz w:val="24"/>
          <w:szCs w:val="24"/>
        </w:rPr>
        <w:t xml:space="preserve"> of mergers and acquisitions in the U.S. </w:t>
      </w:r>
      <w:r w:rsidR="00AA362E">
        <w:rPr>
          <w:rFonts w:ascii="Times New Roman" w:hAnsi="Times New Roman" w:cs="Times New Roman"/>
          <w:sz w:val="24"/>
          <w:szCs w:val="24"/>
        </w:rPr>
        <w:t>For</w:t>
      </w:r>
      <w:r w:rsidR="00D35B5A" w:rsidRPr="00E757AE">
        <w:rPr>
          <w:rFonts w:ascii="Times New Roman" w:hAnsi="Times New Roman" w:cs="Times New Roman"/>
          <w:sz w:val="24"/>
          <w:szCs w:val="24"/>
        </w:rPr>
        <w:t xml:space="preserve"> examples, Oracle purchased NetSuite for $9.3 billion in 2016, and Amazon </w:t>
      </w:r>
      <w:r w:rsidR="000E1622">
        <w:rPr>
          <w:rFonts w:ascii="Times New Roman" w:hAnsi="Times New Roman" w:cs="Times New Roman"/>
          <w:sz w:val="24"/>
          <w:szCs w:val="24"/>
        </w:rPr>
        <w:t xml:space="preserve">recently </w:t>
      </w:r>
      <w:r w:rsidR="00D35B5A" w:rsidRPr="00E757AE">
        <w:rPr>
          <w:rFonts w:ascii="Times New Roman" w:hAnsi="Times New Roman" w:cs="Times New Roman"/>
          <w:sz w:val="24"/>
          <w:szCs w:val="24"/>
        </w:rPr>
        <w:t>announced its plan to acquire Whole</w:t>
      </w:r>
      <w:r w:rsidR="00AA362E">
        <w:rPr>
          <w:rFonts w:ascii="Times New Roman" w:hAnsi="Times New Roman" w:cs="Times New Roman"/>
          <w:sz w:val="24"/>
          <w:szCs w:val="24"/>
        </w:rPr>
        <w:t xml:space="preserve"> F</w:t>
      </w:r>
      <w:r w:rsidR="00D35B5A" w:rsidRPr="00E757AE">
        <w:rPr>
          <w:rFonts w:ascii="Times New Roman" w:hAnsi="Times New Roman" w:cs="Times New Roman"/>
          <w:sz w:val="24"/>
          <w:szCs w:val="24"/>
        </w:rPr>
        <w:t>oods for $13.7 billion. Whether it is Oracle cloud computing or Amazon grocery stores, it has been a winner take all type of environment</w:t>
      </w:r>
      <w:r w:rsidR="0082510D" w:rsidRPr="00E757AE">
        <w:rPr>
          <w:rFonts w:ascii="Times New Roman" w:hAnsi="Times New Roman" w:cs="Times New Roman"/>
          <w:sz w:val="24"/>
          <w:szCs w:val="24"/>
        </w:rPr>
        <w:t>. With organic growth hard to come by</w:t>
      </w:r>
      <w:r w:rsidR="00014E41" w:rsidRPr="00E757AE">
        <w:rPr>
          <w:rFonts w:ascii="Times New Roman" w:hAnsi="Times New Roman" w:cs="Times New Roman"/>
          <w:sz w:val="24"/>
          <w:szCs w:val="24"/>
        </w:rPr>
        <w:t xml:space="preserve">, </w:t>
      </w:r>
      <w:r w:rsidR="009710F6" w:rsidRPr="00E757AE">
        <w:rPr>
          <w:rFonts w:ascii="Times New Roman" w:hAnsi="Times New Roman" w:cs="Times New Roman"/>
          <w:sz w:val="24"/>
          <w:szCs w:val="24"/>
        </w:rPr>
        <w:t>companies</w:t>
      </w:r>
      <w:r w:rsidR="0082510D" w:rsidRPr="00E757AE">
        <w:rPr>
          <w:rFonts w:ascii="Times New Roman" w:hAnsi="Times New Roman" w:cs="Times New Roman"/>
          <w:sz w:val="24"/>
          <w:szCs w:val="24"/>
        </w:rPr>
        <w:t xml:space="preserve"> have resorted to buying growth</w:t>
      </w:r>
      <w:r w:rsidR="00014E41" w:rsidRPr="00E757AE">
        <w:rPr>
          <w:rFonts w:ascii="Times New Roman" w:hAnsi="Times New Roman" w:cs="Times New Roman"/>
          <w:sz w:val="24"/>
          <w:szCs w:val="24"/>
        </w:rPr>
        <w:t xml:space="preserve"> </w:t>
      </w:r>
      <w:r w:rsidR="00572767" w:rsidRPr="00E757AE">
        <w:rPr>
          <w:rFonts w:ascii="Times New Roman" w:hAnsi="Times New Roman" w:cs="Times New Roman"/>
          <w:sz w:val="24"/>
          <w:szCs w:val="24"/>
        </w:rPr>
        <w:t xml:space="preserve">to diversify their revenue </w:t>
      </w:r>
      <w:r w:rsidR="00AA362E">
        <w:rPr>
          <w:rFonts w:ascii="Times New Roman" w:hAnsi="Times New Roman" w:cs="Times New Roman"/>
          <w:sz w:val="24"/>
          <w:szCs w:val="24"/>
        </w:rPr>
        <w:t>streams.</w:t>
      </w:r>
      <w:r w:rsidR="00572767" w:rsidRPr="00E757AE">
        <w:rPr>
          <w:rFonts w:ascii="Times New Roman" w:hAnsi="Times New Roman" w:cs="Times New Roman"/>
          <w:sz w:val="24"/>
          <w:szCs w:val="24"/>
        </w:rPr>
        <w:t xml:space="preserve"> </w:t>
      </w:r>
    </w:p>
    <w:p w:rsidR="00572767" w:rsidRPr="00E757AE" w:rsidRDefault="005D30B1" w:rsidP="009710F6">
      <w:pPr>
        <w:jc w:val="both"/>
        <w:rPr>
          <w:rFonts w:ascii="Times New Roman" w:hAnsi="Times New Roman" w:cs="Times New Roman"/>
          <w:sz w:val="24"/>
          <w:szCs w:val="24"/>
        </w:rPr>
      </w:pPr>
      <w:r w:rsidRPr="00E757AE">
        <w:rPr>
          <w:rFonts w:ascii="Times New Roman" w:hAnsi="Times New Roman" w:cs="Times New Roman"/>
          <w:sz w:val="24"/>
          <w:szCs w:val="24"/>
        </w:rPr>
        <w:t>C</w:t>
      </w:r>
      <w:r w:rsidR="00D35B5A" w:rsidRPr="00E757AE">
        <w:rPr>
          <w:rFonts w:ascii="Times New Roman" w:hAnsi="Times New Roman" w:cs="Times New Roman"/>
          <w:sz w:val="24"/>
          <w:szCs w:val="24"/>
        </w:rPr>
        <w:t>ompanies like Apple</w:t>
      </w:r>
      <w:r w:rsidR="00572767" w:rsidRPr="00E757AE">
        <w:rPr>
          <w:rFonts w:ascii="Times New Roman" w:hAnsi="Times New Roman" w:cs="Times New Roman"/>
          <w:sz w:val="24"/>
          <w:szCs w:val="24"/>
        </w:rPr>
        <w:t xml:space="preserve"> and Alphabet are sitting on</w:t>
      </w:r>
      <w:r w:rsidR="00D35B5A" w:rsidRPr="00E757AE">
        <w:rPr>
          <w:rFonts w:ascii="Times New Roman" w:hAnsi="Times New Roman" w:cs="Times New Roman"/>
          <w:sz w:val="24"/>
          <w:szCs w:val="24"/>
        </w:rPr>
        <w:t xml:space="preserve"> billions in cash, looking for opportunities to </w:t>
      </w:r>
      <w:r w:rsidR="005D735F" w:rsidRPr="00E757AE">
        <w:rPr>
          <w:rFonts w:ascii="Times New Roman" w:hAnsi="Times New Roman" w:cs="Times New Roman"/>
          <w:sz w:val="24"/>
          <w:szCs w:val="24"/>
        </w:rPr>
        <w:t>acquire and expand</w:t>
      </w:r>
      <w:r w:rsidRPr="00E757AE">
        <w:rPr>
          <w:rFonts w:ascii="Times New Roman" w:hAnsi="Times New Roman" w:cs="Times New Roman"/>
          <w:sz w:val="24"/>
          <w:szCs w:val="24"/>
        </w:rPr>
        <w:t xml:space="preserve">. </w:t>
      </w:r>
      <w:r w:rsidR="00B877C1" w:rsidRPr="00E757AE">
        <w:rPr>
          <w:rFonts w:ascii="Times New Roman" w:hAnsi="Times New Roman" w:cs="Times New Roman"/>
          <w:sz w:val="24"/>
          <w:szCs w:val="24"/>
        </w:rPr>
        <w:t xml:space="preserve">This phase of their </w:t>
      </w:r>
      <w:r w:rsidR="00572767" w:rsidRPr="00E757AE">
        <w:rPr>
          <w:rFonts w:ascii="Times New Roman" w:hAnsi="Times New Roman" w:cs="Times New Roman"/>
          <w:sz w:val="24"/>
          <w:szCs w:val="24"/>
        </w:rPr>
        <w:t>business</w:t>
      </w:r>
      <w:r w:rsidRPr="00E757AE">
        <w:rPr>
          <w:rFonts w:ascii="Times New Roman" w:hAnsi="Times New Roman" w:cs="Times New Roman"/>
          <w:sz w:val="24"/>
          <w:szCs w:val="24"/>
        </w:rPr>
        <w:t xml:space="preserve"> lifecycle can be identified as the </w:t>
      </w:r>
      <w:r w:rsidR="00572767" w:rsidRPr="00E757AE">
        <w:rPr>
          <w:rFonts w:ascii="Times New Roman" w:hAnsi="Times New Roman" w:cs="Times New Roman"/>
          <w:sz w:val="24"/>
          <w:szCs w:val="24"/>
        </w:rPr>
        <w:t>“</w:t>
      </w:r>
      <w:r w:rsidRPr="00E757AE">
        <w:rPr>
          <w:rFonts w:ascii="Times New Roman" w:hAnsi="Times New Roman" w:cs="Times New Roman"/>
          <w:sz w:val="24"/>
          <w:szCs w:val="24"/>
        </w:rPr>
        <w:t>Decline</w:t>
      </w:r>
      <w:r w:rsidR="00572767" w:rsidRPr="00E757AE">
        <w:rPr>
          <w:rFonts w:ascii="Times New Roman" w:hAnsi="Times New Roman" w:cs="Times New Roman"/>
          <w:sz w:val="24"/>
          <w:szCs w:val="24"/>
        </w:rPr>
        <w:t>"</w:t>
      </w:r>
      <w:r w:rsidR="00AA362E">
        <w:rPr>
          <w:rFonts w:ascii="Times New Roman" w:hAnsi="Times New Roman" w:cs="Times New Roman"/>
          <w:sz w:val="24"/>
          <w:szCs w:val="24"/>
        </w:rPr>
        <w:t xml:space="preserve"> phase</w:t>
      </w:r>
      <w:r w:rsidRPr="00E757AE">
        <w:rPr>
          <w:rFonts w:ascii="Times New Roman" w:hAnsi="Times New Roman" w:cs="Times New Roman"/>
          <w:sz w:val="24"/>
          <w:szCs w:val="24"/>
        </w:rPr>
        <w:t xml:space="preserve">, </w:t>
      </w:r>
      <w:r w:rsidR="00572767" w:rsidRPr="00E757AE">
        <w:rPr>
          <w:rFonts w:ascii="Times New Roman" w:hAnsi="Times New Roman" w:cs="Times New Roman"/>
          <w:sz w:val="24"/>
          <w:szCs w:val="24"/>
        </w:rPr>
        <w:t>when companies</w:t>
      </w:r>
      <w:r w:rsidRPr="00E757AE">
        <w:rPr>
          <w:rFonts w:ascii="Times New Roman" w:hAnsi="Times New Roman" w:cs="Times New Roman"/>
          <w:sz w:val="24"/>
          <w:szCs w:val="24"/>
        </w:rPr>
        <w:t xml:space="preserve"> must be </w:t>
      </w:r>
      <w:r w:rsidR="00AA362E">
        <w:rPr>
          <w:rFonts w:ascii="Times New Roman" w:hAnsi="Times New Roman" w:cs="Times New Roman"/>
          <w:sz w:val="24"/>
          <w:szCs w:val="24"/>
        </w:rPr>
        <w:t xml:space="preserve">creative, or “reborn” </w:t>
      </w:r>
      <w:proofErr w:type="gramStart"/>
      <w:r w:rsidRPr="00E757AE">
        <w:rPr>
          <w:rFonts w:ascii="Times New Roman" w:hAnsi="Times New Roman" w:cs="Times New Roman"/>
          <w:sz w:val="24"/>
          <w:szCs w:val="24"/>
        </w:rPr>
        <w:t xml:space="preserve">in </w:t>
      </w:r>
      <w:r w:rsidR="00572767" w:rsidRPr="00E757AE">
        <w:rPr>
          <w:rFonts w:ascii="Times New Roman" w:hAnsi="Times New Roman" w:cs="Times New Roman"/>
          <w:sz w:val="24"/>
          <w:szCs w:val="24"/>
        </w:rPr>
        <w:t>order to</w:t>
      </w:r>
      <w:proofErr w:type="gramEnd"/>
      <w:r w:rsidR="00572767" w:rsidRPr="00E757AE">
        <w:rPr>
          <w:rFonts w:ascii="Times New Roman" w:hAnsi="Times New Roman" w:cs="Times New Roman"/>
          <w:sz w:val="24"/>
          <w:szCs w:val="24"/>
        </w:rPr>
        <w:t xml:space="preserve"> capture higher growth rates. </w:t>
      </w:r>
      <w:r w:rsidR="00B877C1" w:rsidRPr="00E757AE">
        <w:rPr>
          <w:rFonts w:ascii="Times New Roman" w:hAnsi="Times New Roman" w:cs="Times New Roman"/>
          <w:sz w:val="24"/>
          <w:szCs w:val="24"/>
        </w:rPr>
        <w:t>Otherwise</w:t>
      </w:r>
      <w:r w:rsidR="00572767" w:rsidRPr="00E757AE">
        <w:rPr>
          <w:rFonts w:ascii="Times New Roman" w:hAnsi="Times New Roman" w:cs="Times New Roman"/>
          <w:sz w:val="24"/>
          <w:szCs w:val="24"/>
        </w:rPr>
        <w:t>, the</w:t>
      </w:r>
      <w:r w:rsidR="00AF7224">
        <w:rPr>
          <w:rFonts w:ascii="Times New Roman" w:hAnsi="Times New Roman" w:cs="Times New Roman"/>
          <w:sz w:val="24"/>
          <w:szCs w:val="24"/>
        </w:rPr>
        <w:t>y are destined to become the next</w:t>
      </w:r>
      <w:r w:rsidR="00572767" w:rsidRPr="00E757AE">
        <w:rPr>
          <w:rFonts w:ascii="Times New Roman" w:hAnsi="Times New Roman" w:cs="Times New Roman"/>
          <w:sz w:val="24"/>
          <w:szCs w:val="24"/>
        </w:rPr>
        <w:t xml:space="preserve"> </w:t>
      </w:r>
      <w:r w:rsidR="00B877C1" w:rsidRPr="00E757AE">
        <w:rPr>
          <w:rFonts w:ascii="Times New Roman" w:hAnsi="Times New Roman" w:cs="Times New Roman"/>
          <w:sz w:val="24"/>
          <w:szCs w:val="24"/>
        </w:rPr>
        <w:t xml:space="preserve">Yahoo, </w:t>
      </w:r>
      <w:r w:rsidR="00572767" w:rsidRPr="00E757AE">
        <w:rPr>
          <w:rFonts w:ascii="Times New Roman" w:hAnsi="Times New Roman" w:cs="Times New Roman"/>
          <w:sz w:val="24"/>
          <w:szCs w:val="24"/>
        </w:rPr>
        <w:t xml:space="preserve">Circuit City, Sears, </w:t>
      </w:r>
      <w:proofErr w:type="spellStart"/>
      <w:r w:rsidR="00572767" w:rsidRPr="00E757AE">
        <w:rPr>
          <w:rFonts w:ascii="Times New Roman" w:hAnsi="Times New Roman" w:cs="Times New Roman"/>
          <w:sz w:val="24"/>
          <w:szCs w:val="24"/>
        </w:rPr>
        <w:t>JCPenney</w:t>
      </w:r>
      <w:proofErr w:type="spellEnd"/>
      <w:r w:rsidR="00572767" w:rsidRPr="00E757AE">
        <w:rPr>
          <w:rFonts w:ascii="Times New Roman" w:hAnsi="Times New Roman" w:cs="Times New Roman"/>
          <w:sz w:val="24"/>
          <w:szCs w:val="24"/>
        </w:rPr>
        <w:t xml:space="preserve"> and now Macy’s. </w:t>
      </w:r>
    </w:p>
    <w:p w:rsidR="000E1622" w:rsidRDefault="00572767" w:rsidP="000E1622">
      <w:pPr>
        <w:jc w:val="both"/>
        <w:rPr>
          <w:rFonts w:ascii="Times New Roman" w:hAnsi="Times New Roman" w:cs="Times New Roman"/>
          <w:sz w:val="24"/>
          <w:szCs w:val="24"/>
        </w:rPr>
      </w:pPr>
      <w:r w:rsidRPr="00E757AE">
        <w:rPr>
          <w:rFonts w:ascii="Times New Roman" w:hAnsi="Times New Roman" w:cs="Times New Roman"/>
          <w:sz w:val="24"/>
          <w:szCs w:val="24"/>
        </w:rPr>
        <w:t>Technolo</w:t>
      </w:r>
      <w:r w:rsidR="00B877C1" w:rsidRPr="00E757AE">
        <w:rPr>
          <w:rFonts w:ascii="Times New Roman" w:hAnsi="Times New Roman" w:cs="Times New Roman"/>
          <w:sz w:val="24"/>
          <w:szCs w:val="24"/>
        </w:rPr>
        <w:t>gy has forever change</w:t>
      </w:r>
      <w:r w:rsidR="00AA362E">
        <w:rPr>
          <w:rFonts w:ascii="Times New Roman" w:hAnsi="Times New Roman" w:cs="Times New Roman"/>
          <w:sz w:val="24"/>
          <w:szCs w:val="24"/>
        </w:rPr>
        <w:t>d the way we purchase goods and services. As a result,</w:t>
      </w:r>
      <w:r w:rsidRPr="00E757AE">
        <w:rPr>
          <w:rFonts w:ascii="Times New Roman" w:hAnsi="Times New Roman" w:cs="Times New Roman"/>
          <w:sz w:val="24"/>
          <w:szCs w:val="24"/>
        </w:rPr>
        <w:t xml:space="preserve"> companies must identify ways to maintain</w:t>
      </w:r>
      <w:r w:rsidR="0082510D" w:rsidRPr="00E757AE">
        <w:rPr>
          <w:rFonts w:ascii="Times New Roman" w:hAnsi="Times New Roman" w:cs="Times New Roman"/>
          <w:sz w:val="24"/>
          <w:szCs w:val="24"/>
        </w:rPr>
        <w:t xml:space="preserve"> their</w:t>
      </w:r>
      <w:r w:rsidRPr="00E757AE">
        <w:rPr>
          <w:rFonts w:ascii="Times New Roman" w:hAnsi="Times New Roman" w:cs="Times New Roman"/>
          <w:sz w:val="24"/>
          <w:szCs w:val="24"/>
        </w:rPr>
        <w:t xml:space="preserve"> </w:t>
      </w:r>
      <w:r w:rsidR="00014E41" w:rsidRPr="00E757AE">
        <w:rPr>
          <w:rFonts w:ascii="Times New Roman" w:hAnsi="Times New Roman" w:cs="Times New Roman"/>
          <w:sz w:val="24"/>
          <w:szCs w:val="24"/>
        </w:rPr>
        <w:t>market share.</w:t>
      </w:r>
      <w:r w:rsidR="00B877C1" w:rsidRPr="00E757AE">
        <w:rPr>
          <w:rFonts w:ascii="Times New Roman" w:hAnsi="Times New Roman" w:cs="Times New Roman"/>
          <w:sz w:val="24"/>
          <w:szCs w:val="24"/>
        </w:rPr>
        <w:t xml:space="preserve"> I</w:t>
      </w:r>
      <w:r w:rsidR="00014E41" w:rsidRPr="00E757AE">
        <w:rPr>
          <w:rFonts w:ascii="Times New Roman" w:hAnsi="Times New Roman" w:cs="Times New Roman"/>
          <w:sz w:val="24"/>
          <w:szCs w:val="24"/>
        </w:rPr>
        <w:t xml:space="preserve">t should be no surprise that consolidation will continue, and the number of U.S. </w:t>
      </w:r>
      <w:r w:rsidR="00AA362E">
        <w:rPr>
          <w:rFonts w:ascii="Times New Roman" w:hAnsi="Times New Roman" w:cs="Times New Roman"/>
          <w:sz w:val="24"/>
          <w:szCs w:val="24"/>
        </w:rPr>
        <w:t xml:space="preserve">publicly traded </w:t>
      </w:r>
      <w:r w:rsidR="00014E41" w:rsidRPr="00E757AE">
        <w:rPr>
          <w:rFonts w:ascii="Times New Roman" w:hAnsi="Times New Roman" w:cs="Times New Roman"/>
          <w:sz w:val="24"/>
          <w:szCs w:val="24"/>
        </w:rPr>
        <w:t xml:space="preserve">stocks will continue to decline. </w:t>
      </w:r>
    </w:p>
    <w:p w:rsidR="000E1622" w:rsidRDefault="00C53B9D" w:rsidP="000E1622">
      <w:pPr>
        <w:jc w:val="both"/>
        <w:rPr>
          <w:sz w:val="16"/>
          <w:szCs w:val="16"/>
        </w:rPr>
      </w:pPr>
      <w:r w:rsidRPr="00E757AE">
        <w:rPr>
          <w:sz w:val="16"/>
          <w:szCs w:val="16"/>
        </w:rPr>
        <w:t xml:space="preserve">Source: Bloomberg. Think Global to Avoid Shrinking U.S. Stock Market. March 2017. </w:t>
      </w:r>
    </w:p>
    <w:p w:rsidR="00014E41" w:rsidRPr="000E1622" w:rsidRDefault="00014E41" w:rsidP="000E1622">
      <w:pPr>
        <w:rPr>
          <w:sz w:val="16"/>
          <w:szCs w:val="16"/>
        </w:rPr>
      </w:pPr>
    </w:p>
    <w:sectPr w:rsidR="00014E41" w:rsidRPr="000E1622" w:rsidSect="00CE4A3D">
      <w:footerReference w:type="default" r:id="rId8"/>
      <w:pgSz w:w="15840" w:h="12240" w:orient="landscape"/>
      <w:pgMar w:top="450" w:right="1440" w:bottom="45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22" w:rsidRDefault="000E1622" w:rsidP="000E1622">
      <w:pPr>
        <w:spacing w:after="0" w:line="240" w:lineRule="auto"/>
      </w:pPr>
      <w:r>
        <w:separator/>
      </w:r>
    </w:p>
  </w:endnote>
  <w:endnote w:type="continuationSeparator" w:id="0">
    <w:p w:rsidR="000E1622" w:rsidRDefault="000E1622" w:rsidP="000E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22" w:rsidRDefault="000E1622" w:rsidP="000E1622">
    <w:pPr>
      <w:pStyle w:val="Footer"/>
      <w:ind w:left="-540" w:right="-540"/>
      <w:rPr>
        <w:sz w:val="14"/>
      </w:rPr>
    </w:pPr>
  </w:p>
  <w:p w:rsidR="000E1622" w:rsidRPr="002044D4" w:rsidRDefault="000E1622" w:rsidP="000E1622">
    <w:pPr>
      <w:pStyle w:val="Footer"/>
      <w:ind w:left="-540" w:right="-540"/>
      <w:rPr>
        <w:sz w:val="14"/>
      </w:rPr>
    </w:pPr>
    <w:r w:rsidRPr="002044D4">
      <w:rPr>
        <w:sz w:val="14"/>
      </w:rPr>
      <w:t>Disclosure: All expressions of opinion reflect the judgment of the author as of the date of publication and are subject to change. Content should not be regarded as a complete analysis of the subjects discussed or as personalized investment advice. All investment strategies have the potential for profit or loss. References to market performance in publications do not represent the returns achieved by Burgess Chambers &amp; Associates or any of its advisory clients.</w:t>
    </w:r>
  </w:p>
  <w:p w:rsidR="000E1622" w:rsidRDefault="000E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22" w:rsidRDefault="000E1622" w:rsidP="000E1622">
      <w:pPr>
        <w:spacing w:after="0" w:line="240" w:lineRule="auto"/>
      </w:pPr>
      <w:r>
        <w:separator/>
      </w:r>
    </w:p>
  </w:footnote>
  <w:footnote w:type="continuationSeparator" w:id="0">
    <w:p w:rsidR="000E1622" w:rsidRDefault="000E1622" w:rsidP="000E1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D6"/>
    <w:rsid w:val="00012649"/>
    <w:rsid w:val="00014E41"/>
    <w:rsid w:val="000211F4"/>
    <w:rsid w:val="00036916"/>
    <w:rsid w:val="00041071"/>
    <w:rsid w:val="0004218D"/>
    <w:rsid w:val="0005139D"/>
    <w:rsid w:val="00070A41"/>
    <w:rsid w:val="0009175A"/>
    <w:rsid w:val="00093C43"/>
    <w:rsid w:val="00095F6A"/>
    <w:rsid w:val="000A0677"/>
    <w:rsid w:val="000C4B6B"/>
    <w:rsid w:val="000E1273"/>
    <w:rsid w:val="000E1622"/>
    <w:rsid w:val="000E5B32"/>
    <w:rsid w:val="00106EF9"/>
    <w:rsid w:val="0011288A"/>
    <w:rsid w:val="00124559"/>
    <w:rsid w:val="00156599"/>
    <w:rsid w:val="001843BD"/>
    <w:rsid w:val="0019775A"/>
    <w:rsid w:val="001B2031"/>
    <w:rsid w:val="001B7407"/>
    <w:rsid w:val="001C3348"/>
    <w:rsid w:val="001D6D8B"/>
    <w:rsid w:val="001E11F5"/>
    <w:rsid w:val="001E18DE"/>
    <w:rsid w:val="001F6BF1"/>
    <w:rsid w:val="00205F50"/>
    <w:rsid w:val="00206FC9"/>
    <w:rsid w:val="0021371E"/>
    <w:rsid w:val="00220564"/>
    <w:rsid w:val="00226253"/>
    <w:rsid w:val="00241F2F"/>
    <w:rsid w:val="00242BED"/>
    <w:rsid w:val="00244953"/>
    <w:rsid w:val="00247CF5"/>
    <w:rsid w:val="00251728"/>
    <w:rsid w:val="00251787"/>
    <w:rsid w:val="00264504"/>
    <w:rsid w:val="00277440"/>
    <w:rsid w:val="002947D8"/>
    <w:rsid w:val="002B5D92"/>
    <w:rsid w:val="002D1A1B"/>
    <w:rsid w:val="002D1D8F"/>
    <w:rsid w:val="002F1F88"/>
    <w:rsid w:val="00302D7C"/>
    <w:rsid w:val="00306F2C"/>
    <w:rsid w:val="00314B18"/>
    <w:rsid w:val="003362CF"/>
    <w:rsid w:val="003666FA"/>
    <w:rsid w:val="00377C24"/>
    <w:rsid w:val="00390853"/>
    <w:rsid w:val="003A2FA5"/>
    <w:rsid w:val="003A39B7"/>
    <w:rsid w:val="003D0A4F"/>
    <w:rsid w:val="003D46E8"/>
    <w:rsid w:val="003E0459"/>
    <w:rsid w:val="0044285E"/>
    <w:rsid w:val="0045056C"/>
    <w:rsid w:val="0046026A"/>
    <w:rsid w:val="00473056"/>
    <w:rsid w:val="00476373"/>
    <w:rsid w:val="00476E99"/>
    <w:rsid w:val="0047767B"/>
    <w:rsid w:val="0049099D"/>
    <w:rsid w:val="00491F33"/>
    <w:rsid w:val="004A15A0"/>
    <w:rsid w:val="004B78BE"/>
    <w:rsid w:val="004D2732"/>
    <w:rsid w:val="004D2B6D"/>
    <w:rsid w:val="004D773E"/>
    <w:rsid w:val="00503963"/>
    <w:rsid w:val="0051062E"/>
    <w:rsid w:val="00510635"/>
    <w:rsid w:val="005222FE"/>
    <w:rsid w:val="00526F99"/>
    <w:rsid w:val="00530681"/>
    <w:rsid w:val="0055082F"/>
    <w:rsid w:val="005609BC"/>
    <w:rsid w:val="00572767"/>
    <w:rsid w:val="005750E9"/>
    <w:rsid w:val="0058648F"/>
    <w:rsid w:val="0058781D"/>
    <w:rsid w:val="005A15A3"/>
    <w:rsid w:val="005C34B0"/>
    <w:rsid w:val="005D30B1"/>
    <w:rsid w:val="005D735F"/>
    <w:rsid w:val="005E6FC1"/>
    <w:rsid w:val="00612DCF"/>
    <w:rsid w:val="006162BF"/>
    <w:rsid w:val="00617222"/>
    <w:rsid w:val="0063128E"/>
    <w:rsid w:val="006452F0"/>
    <w:rsid w:val="0064595F"/>
    <w:rsid w:val="00660F12"/>
    <w:rsid w:val="00665E68"/>
    <w:rsid w:val="00667955"/>
    <w:rsid w:val="00684BD9"/>
    <w:rsid w:val="006877FE"/>
    <w:rsid w:val="0069120A"/>
    <w:rsid w:val="006A0A5C"/>
    <w:rsid w:val="006B2C32"/>
    <w:rsid w:val="006B43E9"/>
    <w:rsid w:val="006D7571"/>
    <w:rsid w:val="006F1C9B"/>
    <w:rsid w:val="00714467"/>
    <w:rsid w:val="00717222"/>
    <w:rsid w:val="007263A7"/>
    <w:rsid w:val="007344E1"/>
    <w:rsid w:val="007715D4"/>
    <w:rsid w:val="00775C34"/>
    <w:rsid w:val="00792233"/>
    <w:rsid w:val="00792A80"/>
    <w:rsid w:val="00797854"/>
    <w:rsid w:val="007A4A0C"/>
    <w:rsid w:val="007E001A"/>
    <w:rsid w:val="007F2110"/>
    <w:rsid w:val="007F24D6"/>
    <w:rsid w:val="00801A4A"/>
    <w:rsid w:val="008234F8"/>
    <w:rsid w:val="00824204"/>
    <w:rsid w:val="0082510D"/>
    <w:rsid w:val="00835686"/>
    <w:rsid w:val="00865A99"/>
    <w:rsid w:val="008677F0"/>
    <w:rsid w:val="00873843"/>
    <w:rsid w:val="00880254"/>
    <w:rsid w:val="008A403B"/>
    <w:rsid w:val="008C72AD"/>
    <w:rsid w:val="008D280C"/>
    <w:rsid w:val="008D388F"/>
    <w:rsid w:val="008E22F4"/>
    <w:rsid w:val="008E53E4"/>
    <w:rsid w:val="008F5362"/>
    <w:rsid w:val="00915DEB"/>
    <w:rsid w:val="009230FB"/>
    <w:rsid w:val="00925846"/>
    <w:rsid w:val="00927A03"/>
    <w:rsid w:val="0093132C"/>
    <w:rsid w:val="00932E17"/>
    <w:rsid w:val="00935468"/>
    <w:rsid w:val="00946B4E"/>
    <w:rsid w:val="009476F2"/>
    <w:rsid w:val="00950C9E"/>
    <w:rsid w:val="009521BB"/>
    <w:rsid w:val="00963012"/>
    <w:rsid w:val="009710F6"/>
    <w:rsid w:val="00972917"/>
    <w:rsid w:val="00973985"/>
    <w:rsid w:val="00974F96"/>
    <w:rsid w:val="0099468B"/>
    <w:rsid w:val="009C2263"/>
    <w:rsid w:val="009D19D8"/>
    <w:rsid w:val="009E233C"/>
    <w:rsid w:val="009E3706"/>
    <w:rsid w:val="00A0534C"/>
    <w:rsid w:val="00A07F70"/>
    <w:rsid w:val="00A10B7E"/>
    <w:rsid w:val="00A170D6"/>
    <w:rsid w:val="00A26B85"/>
    <w:rsid w:val="00A348E6"/>
    <w:rsid w:val="00A61E28"/>
    <w:rsid w:val="00A648B3"/>
    <w:rsid w:val="00A720FA"/>
    <w:rsid w:val="00A7797C"/>
    <w:rsid w:val="00A805A6"/>
    <w:rsid w:val="00A82C64"/>
    <w:rsid w:val="00A93E55"/>
    <w:rsid w:val="00AA362E"/>
    <w:rsid w:val="00AB10C9"/>
    <w:rsid w:val="00AC403E"/>
    <w:rsid w:val="00AE409A"/>
    <w:rsid w:val="00AE469B"/>
    <w:rsid w:val="00AF7224"/>
    <w:rsid w:val="00AF7573"/>
    <w:rsid w:val="00B10BA4"/>
    <w:rsid w:val="00B13711"/>
    <w:rsid w:val="00B426FA"/>
    <w:rsid w:val="00B608AB"/>
    <w:rsid w:val="00B617E1"/>
    <w:rsid w:val="00B63082"/>
    <w:rsid w:val="00B74975"/>
    <w:rsid w:val="00B7667F"/>
    <w:rsid w:val="00B76896"/>
    <w:rsid w:val="00B7715F"/>
    <w:rsid w:val="00B77183"/>
    <w:rsid w:val="00B84B88"/>
    <w:rsid w:val="00B862E3"/>
    <w:rsid w:val="00B877C1"/>
    <w:rsid w:val="00B949A4"/>
    <w:rsid w:val="00BA6AEA"/>
    <w:rsid w:val="00BB518A"/>
    <w:rsid w:val="00BC0662"/>
    <w:rsid w:val="00BC15B4"/>
    <w:rsid w:val="00BC2212"/>
    <w:rsid w:val="00BC7F5E"/>
    <w:rsid w:val="00C005A9"/>
    <w:rsid w:val="00C00DE2"/>
    <w:rsid w:val="00C07292"/>
    <w:rsid w:val="00C117CE"/>
    <w:rsid w:val="00C21429"/>
    <w:rsid w:val="00C26499"/>
    <w:rsid w:val="00C31318"/>
    <w:rsid w:val="00C43035"/>
    <w:rsid w:val="00C53B9D"/>
    <w:rsid w:val="00C544BC"/>
    <w:rsid w:val="00C64455"/>
    <w:rsid w:val="00C7072F"/>
    <w:rsid w:val="00C732AF"/>
    <w:rsid w:val="00C77B73"/>
    <w:rsid w:val="00C86573"/>
    <w:rsid w:val="00C86940"/>
    <w:rsid w:val="00CA70FD"/>
    <w:rsid w:val="00CA77D8"/>
    <w:rsid w:val="00CB4943"/>
    <w:rsid w:val="00CC4AA6"/>
    <w:rsid w:val="00CD054E"/>
    <w:rsid w:val="00CD2741"/>
    <w:rsid w:val="00CE4A3D"/>
    <w:rsid w:val="00CE6067"/>
    <w:rsid w:val="00CE64E1"/>
    <w:rsid w:val="00CF0B42"/>
    <w:rsid w:val="00CF45C9"/>
    <w:rsid w:val="00D1383F"/>
    <w:rsid w:val="00D14178"/>
    <w:rsid w:val="00D162BB"/>
    <w:rsid w:val="00D17B18"/>
    <w:rsid w:val="00D35B5A"/>
    <w:rsid w:val="00D51A04"/>
    <w:rsid w:val="00D56CE2"/>
    <w:rsid w:val="00D64CF2"/>
    <w:rsid w:val="00D81324"/>
    <w:rsid w:val="00D84FAB"/>
    <w:rsid w:val="00D93406"/>
    <w:rsid w:val="00DA009B"/>
    <w:rsid w:val="00DA5E81"/>
    <w:rsid w:val="00DA6051"/>
    <w:rsid w:val="00DA7EE5"/>
    <w:rsid w:val="00DE1E84"/>
    <w:rsid w:val="00DE250A"/>
    <w:rsid w:val="00E01913"/>
    <w:rsid w:val="00E1719C"/>
    <w:rsid w:val="00E221BA"/>
    <w:rsid w:val="00E23D6E"/>
    <w:rsid w:val="00E404F6"/>
    <w:rsid w:val="00E65F9A"/>
    <w:rsid w:val="00E71F0D"/>
    <w:rsid w:val="00E72BD8"/>
    <w:rsid w:val="00E757AE"/>
    <w:rsid w:val="00E76743"/>
    <w:rsid w:val="00E76B61"/>
    <w:rsid w:val="00E959BC"/>
    <w:rsid w:val="00E96EC5"/>
    <w:rsid w:val="00EB1A7E"/>
    <w:rsid w:val="00EB3E95"/>
    <w:rsid w:val="00EB6B68"/>
    <w:rsid w:val="00ED442E"/>
    <w:rsid w:val="00EE0210"/>
    <w:rsid w:val="00EE505F"/>
    <w:rsid w:val="00EE6756"/>
    <w:rsid w:val="00F1227B"/>
    <w:rsid w:val="00F14499"/>
    <w:rsid w:val="00F4178E"/>
    <w:rsid w:val="00F427F7"/>
    <w:rsid w:val="00F44AEF"/>
    <w:rsid w:val="00F902A5"/>
    <w:rsid w:val="00FB0B7F"/>
    <w:rsid w:val="00FB7083"/>
    <w:rsid w:val="00FD04E0"/>
    <w:rsid w:val="00FD109E"/>
    <w:rsid w:val="00FD4E3C"/>
    <w:rsid w:val="00FE25FE"/>
    <w:rsid w:val="00FF3922"/>
    <w:rsid w:val="00FF4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9C3D56-4341-44DD-9C3E-F3CDB96A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text-onlyhighlight1">
    <w:name w:val="lede-text-only__highlight1"/>
    <w:basedOn w:val="DefaultParagraphFont"/>
    <w:rsid w:val="00C53B9D"/>
    <w:rPr>
      <w:shd w:val="clear" w:color="auto" w:fill="FFFFFF"/>
    </w:rPr>
  </w:style>
  <w:style w:type="paragraph" w:styleId="BalloonText">
    <w:name w:val="Balloon Text"/>
    <w:basedOn w:val="Normal"/>
    <w:link w:val="BalloonTextChar"/>
    <w:uiPriority w:val="99"/>
    <w:semiHidden/>
    <w:unhideWhenUsed/>
    <w:rsid w:val="00C53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B9D"/>
    <w:rPr>
      <w:rFonts w:ascii="Tahoma" w:hAnsi="Tahoma" w:cs="Tahoma"/>
      <w:sz w:val="16"/>
      <w:szCs w:val="16"/>
    </w:rPr>
  </w:style>
  <w:style w:type="paragraph" w:styleId="NoSpacing">
    <w:name w:val="No Spacing"/>
    <w:uiPriority w:val="1"/>
    <w:qFormat/>
    <w:rsid w:val="00E757AE"/>
    <w:pPr>
      <w:spacing w:after="0" w:line="240" w:lineRule="auto"/>
    </w:pPr>
  </w:style>
  <w:style w:type="paragraph" w:styleId="Header">
    <w:name w:val="header"/>
    <w:basedOn w:val="Normal"/>
    <w:link w:val="HeaderChar"/>
    <w:uiPriority w:val="99"/>
    <w:unhideWhenUsed/>
    <w:rsid w:val="000E1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22"/>
  </w:style>
  <w:style w:type="paragraph" w:styleId="Footer">
    <w:name w:val="footer"/>
    <w:basedOn w:val="Normal"/>
    <w:link w:val="FooterChar"/>
    <w:uiPriority w:val="99"/>
    <w:unhideWhenUsed/>
    <w:rsid w:val="000E1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280F-F0F4-4AA9-8CE0-A63F6087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Wan</dc:creator>
  <cp:lastModifiedBy>Melanie Winslow</cp:lastModifiedBy>
  <cp:revision>2</cp:revision>
  <dcterms:created xsi:type="dcterms:W3CDTF">2017-07-24T17:56:00Z</dcterms:created>
  <dcterms:modified xsi:type="dcterms:W3CDTF">2017-07-24T17:56:00Z</dcterms:modified>
</cp:coreProperties>
</file>